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sz w:val="28"/>
          <w:szCs w:val="28"/>
        </w:rPr>
      </w:pPr>
      <w:r w:rsidDel="00000000" w:rsidR="00000000" w:rsidRPr="00000000">
        <w:rPr>
          <w:color w:val="1d1d1d"/>
          <w:sz w:val="28"/>
          <w:szCs w:val="28"/>
          <w:highlight w:val="white"/>
          <w:rtl w:val="0"/>
        </w:rPr>
        <w:t xml:space="preserve">Recently, I had a difficult situation at school when confronted a crucial conversation with one of my team members who were working with me on a course project. While one member and I were so enthusiastic about completing the project and submitting it prior to the deadline, the second team member didn’t show any enthusiasm or seriousness in this case. Therefore, I decided to have a discussion with him and tell him frankly that his lack of seriousness or immaturity would lead to our failure in the course or at least losing marks. Because I was so upset and working under pressure, I didn’t wait so long to have this conversation and I spoke with him the next day. I started the conversation by placing the blame on him for his lack of commitment causing the delay of submission. Then, the argument turned a crucial conversation with strong emotions when each one of us blamed the other for not working so hard. Though both of us were vehement in our denial of the responsibility, I realized that if we continued arguing aggressively, we wouldn’t reach the wanted result and accomplish our mutual goal.</w:t>
      </w: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ar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